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7" w:rsidRPr="00C55A46" w:rsidRDefault="00A8289C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13</w:t>
      </w:r>
    </w:p>
    <w:tbl>
      <w:tblPr>
        <w:tblStyle w:val="Tabelraster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2736"/>
        <w:gridCol w:w="6546"/>
      </w:tblGrid>
      <w:tr w:rsidR="005A3477" w:rsidRPr="00C55A46" w:rsidTr="00C55A46">
        <w:trPr>
          <w:trHeight w:val="367"/>
        </w:trPr>
        <w:tc>
          <w:tcPr>
            <w:tcW w:w="2736" w:type="dxa"/>
            <w:vMerge w:val="restart"/>
            <w:tcBorders>
              <w:right w:val="single" w:sz="4" w:space="0" w:color="auto"/>
            </w:tcBorders>
          </w:tcPr>
          <w:p w:rsidR="005A3477" w:rsidRPr="00C55A46" w:rsidRDefault="005A3477">
            <w:pPr>
              <w:rPr>
                <w:lang w:val="fr-FR"/>
              </w:rPr>
            </w:pP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A3477" w:rsidRPr="00C55A46" w:rsidRDefault="005A3477">
            <w:pPr>
              <w:rPr>
                <w:lang w:val="fr-FR"/>
              </w:rPr>
            </w:pPr>
          </w:p>
          <w:p w:rsidR="005A3477" w:rsidRPr="00C55A46" w:rsidRDefault="000711C0" w:rsidP="009A0481">
            <w:pPr>
              <w:shd w:val="clear" w:color="auto" w:fill="D9D9D9" w:themeFill="background1" w:themeFillShade="D9"/>
              <w:jc w:val="center"/>
              <w:rPr>
                <w:color w:val="0000FF"/>
                <w:sz w:val="48"/>
                <w:szCs w:val="48"/>
                <w:u w:val="single"/>
                <w:lang w:val="fr-FR"/>
              </w:rPr>
            </w:pPr>
            <w:r w:rsidRPr="00C55A46">
              <w:rPr>
                <w:color w:val="0000FF"/>
                <w:sz w:val="48"/>
                <w:szCs w:val="48"/>
                <w:u w:val="single"/>
                <w:lang w:val="fr-FR"/>
              </w:rPr>
              <w:t>Description de fonction</w:t>
            </w:r>
          </w:p>
          <w:p w:rsidR="005A3477" w:rsidRPr="00C55A46" w:rsidRDefault="005A3477">
            <w:pPr>
              <w:rPr>
                <w:lang w:val="fr-FR"/>
              </w:rPr>
            </w:pPr>
          </w:p>
        </w:tc>
      </w:tr>
      <w:tr w:rsidR="005A3477" w:rsidRPr="00C55A46" w:rsidTr="00C55A46">
        <w:trPr>
          <w:trHeight w:val="366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:rsidR="005A3477" w:rsidRPr="00C55A46" w:rsidRDefault="005A3477">
            <w:pPr>
              <w:rPr>
                <w:lang w:val="fr-FR"/>
              </w:rPr>
            </w:pPr>
          </w:p>
        </w:tc>
        <w:tc>
          <w:tcPr>
            <w:tcW w:w="6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3477" w:rsidRPr="00C55A46" w:rsidRDefault="009C6A66" w:rsidP="006400C9">
            <w:pPr>
              <w:shd w:val="clear" w:color="auto" w:fill="D9D9D9" w:themeFill="background1" w:themeFillShade="D9"/>
              <w:jc w:val="center"/>
              <w:rPr>
                <w:b/>
                <w:color w:val="0000FF"/>
                <w:sz w:val="32"/>
                <w:szCs w:val="32"/>
                <w:lang w:val="fr-FR"/>
              </w:rPr>
            </w:pPr>
            <w:r>
              <w:rPr>
                <w:b/>
                <w:color w:val="0000FF"/>
                <w:sz w:val="36"/>
                <w:szCs w:val="36"/>
                <w:lang w:val="fr-FR"/>
              </w:rPr>
              <w:t>Expert opérationnel</w:t>
            </w:r>
          </w:p>
        </w:tc>
      </w:tr>
      <w:tr w:rsidR="006400C9" w:rsidRPr="00344209" w:rsidTr="00C55A46">
        <w:tc>
          <w:tcPr>
            <w:tcW w:w="2736" w:type="dxa"/>
          </w:tcPr>
          <w:p w:rsidR="006400C9" w:rsidRPr="00C55A46" w:rsidRDefault="006400C9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  <w:tcBorders>
              <w:top w:val="single" w:sz="4" w:space="0" w:color="auto"/>
            </w:tcBorders>
          </w:tcPr>
          <w:p w:rsidR="006400C9" w:rsidRPr="00C55A46" w:rsidRDefault="006400C9" w:rsidP="009A0481">
            <w:pPr>
              <w:rPr>
                <w:sz w:val="20"/>
                <w:szCs w:val="20"/>
                <w:lang w:val="fr-FR"/>
              </w:rPr>
            </w:pPr>
          </w:p>
          <w:p w:rsidR="000711C0" w:rsidRPr="00C55A46" w:rsidRDefault="000711C0" w:rsidP="007265E9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55A4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Cette fonction est </w:t>
            </w:r>
            <w:r w:rsidR="00556319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en principe </w:t>
            </w:r>
            <w:r w:rsidRPr="00C55A4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associée à </w:t>
            </w:r>
            <w:r w:rsidR="00A8289C">
              <w:rPr>
                <w:rFonts w:cs="Arial"/>
                <w:color w:val="000000"/>
                <w:sz w:val="20"/>
                <w:szCs w:val="20"/>
                <w:lang w:val="fr-FR"/>
              </w:rPr>
              <w:t>une fonction du cadre moyen</w:t>
            </w:r>
            <w:r w:rsidRPr="00C55A46">
              <w:rPr>
                <w:rFonts w:cs="Arial"/>
                <w:color w:val="000000"/>
                <w:sz w:val="20"/>
                <w:szCs w:val="20"/>
                <w:lang w:val="fr-FR"/>
              </w:rPr>
              <w:t>.</w:t>
            </w:r>
          </w:p>
          <w:p w:rsidR="000711C0" w:rsidRPr="00C55A46" w:rsidRDefault="000711C0" w:rsidP="007265E9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6400C9" w:rsidRDefault="000711C0" w:rsidP="005A3FE3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55A46">
              <w:rPr>
                <w:rFonts w:cs="Arial"/>
                <w:color w:val="000000"/>
                <w:sz w:val="20"/>
                <w:szCs w:val="20"/>
                <w:lang w:val="fr-FR"/>
              </w:rPr>
              <w:t>La zone prévoit cette fonction en fonc</w:t>
            </w:r>
            <w:r w:rsidR="005A3FE3">
              <w:rPr>
                <w:rFonts w:cs="Arial"/>
                <w:color w:val="000000"/>
                <w:sz w:val="20"/>
                <w:szCs w:val="20"/>
                <w:lang w:val="fr-FR"/>
              </w:rPr>
              <w:t>tion de son analyse des risques.</w:t>
            </w:r>
          </w:p>
          <w:p w:rsidR="005A3FE3" w:rsidRDefault="005A3FE3" w:rsidP="005A3FE3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8A7174" w:rsidRDefault="008A7174" w:rsidP="008A7174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la réaffectation sur requête volontaire, prévue à l'article 119 de l'arrêté royal du 19 avril 2014 relatif au statut du personnel opérationnel des zones de secours.</w:t>
            </w:r>
          </w:p>
          <w:p w:rsidR="008A7174" w:rsidRDefault="008A7174" w:rsidP="008A7174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8A7174" w:rsidRDefault="008A7174" w:rsidP="008A7174">
            <w:pPr>
              <w:jc w:val="center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Cette fonction peut également être reprise dans le cadre de l’arrêté ministériel du 11 juin 2015 fixant la liste des fonctions allégées, adaptées visées à l'article 126, alinéa 3, de l'arrêté royal du 19 avril 2014 relatif au statut administratif du personnel opérationnel des zones de secours.</w:t>
            </w:r>
          </w:p>
          <w:p w:rsidR="008A7174" w:rsidRPr="00C55A46" w:rsidRDefault="008A7174" w:rsidP="005A3FE3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9A0481" w:rsidRPr="00344209" w:rsidTr="00C55A46">
        <w:tc>
          <w:tcPr>
            <w:tcW w:w="2736" w:type="dxa"/>
          </w:tcPr>
          <w:p w:rsidR="009A0481" w:rsidRPr="00C55A46" w:rsidRDefault="00C55A46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C55A46">
              <w:rPr>
                <w:b/>
                <w:color w:val="0000FF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6546" w:type="dxa"/>
            <w:tcBorders>
              <w:top w:val="single" w:sz="4" w:space="0" w:color="auto"/>
            </w:tcBorders>
          </w:tcPr>
          <w:p w:rsidR="009A0481" w:rsidRPr="00C55A46" w:rsidRDefault="009A0481" w:rsidP="009A0481">
            <w:pPr>
              <w:rPr>
                <w:sz w:val="20"/>
                <w:szCs w:val="20"/>
                <w:lang w:val="fr-FR"/>
              </w:rPr>
            </w:pPr>
          </w:p>
          <w:p w:rsidR="00C55A46" w:rsidRPr="00C55A46" w:rsidRDefault="00C55A46" w:rsidP="006400C9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 w:rsidRPr="00C55A46">
              <w:rPr>
                <w:rFonts w:cs="Arial"/>
                <w:color w:val="000000"/>
                <w:sz w:val="20"/>
                <w:szCs w:val="20"/>
                <w:lang w:val="fr-FR"/>
              </w:rPr>
              <w:t>Diriger un groupe</w:t>
            </w:r>
            <w:r w:rsidR="00A8289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8A7174">
              <w:rPr>
                <w:rFonts w:cs="Arial"/>
                <w:color w:val="000000"/>
                <w:sz w:val="20"/>
                <w:szCs w:val="20"/>
                <w:lang w:val="fr-FR"/>
              </w:rPr>
              <w:t>d’assistants</w:t>
            </w:r>
            <w:r w:rsidR="00A8289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et/ou</w:t>
            </w:r>
            <w:r w:rsidRPr="00C55A4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d'experts opérationnels, principalement pour des activités spécialisées nécessitant davantage de connaissances et compétences.</w:t>
            </w:r>
          </w:p>
          <w:p w:rsidR="009A0481" w:rsidRPr="00C55A46" w:rsidRDefault="009A0481" w:rsidP="00C55A46">
            <w:pPr>
              <w:rPr>
                <w:sz w:val="20"/>
                <w:szCs w:val="20"/>
                <w:lang w:val="fr-FR"/>
              </w:rPr>
            </w:pPr>
          </w:p>
        </w:tc>
      </w:tr>
      <w:tr w:rsidR="009A0481" w:rsidRPr="00344209" w:rsidTr="00C55A46">
        <w:tc>
          <w:tcPr>
            <w:tcW w:w="2736" w:type="dxa"/>
          </w:tcPr>
          <w:p w:rsidR="009A0481" w:rsidRPr="00C55A46" w:rsidRDefault="00C55A46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C55A46">
              <w:rPr>
                <w:b/>
                <w:color w:val="0000FF"/>
                <w:sz w:val="20"/>
                <w:szCs w:val="20"/>
                <w:lang w:val="fr-FR"/>
              </w:rPr>
              <w:t>Description</w:t>
            </w:r>
          </w:p>
          <w:p w:rsidR="009A0481" w:rsidRPr="00C55A46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  <w:p w:rsidR="009A0481" w:rsidRPr="00C55A46" w:rsidRDefault="009A0481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</w:tcPr>
          <w:p w:rsidR="009A0481" w:rsidRPr="00C55A46" w:rsidRDefault="009A0481" w:rsidP="009A0481">
            <w:pPr>
              <w:rPr>
                <w:sz w:val="20"/>
                <w:szCs w:val="20"/>
                <w:lang w:val="fr-FR"/>
              </w:rPr>
            </w:pPr>
          </w:p>
          <w:p w:rsidR="00C55A46" w:rsidRPr="00C55A46" w:rsidRDefault="00C55A46" w:rsidP="00973B7D">
            <w:pPr>
              <w:rPr>
                <w:sz w:val="20"/>
                <w:szCs w:val="20"/>
                <w:lang w:val="fr-FR"/>
              </w:rPr>
            </w:pPr>
            <w:r w:rsidRPr="00C55A46">
              <w:rPr>
                <w:sz w:val="20"/>
                <w:szCs w:val="20"/>
                <w:lang w:val="fr-FR"/>
              </w:rPr>
              <w:t>L'expert opérationnel collabore avec une équipe de spécialistes dans leur domaine de spécialisation et y exerce une mission dirigeante.</w:t>
            </w:r>
          </w:p>
          <w:p w:rsidR="009A0481" w:rsidRPr="00C55A46" w:rsidRDefault="006400C9" w:rsidP="00973B7D">
            <w:pPr>
              <w:rPr>
                <w:sz w:val="20"/>
                <w:szCs w:val="20"/>
                <w:lang w:val="fr-FR"/>
              </w:rPr>
            </w:pPr>
            <w:r w:rsidRPr="00C55A46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C55A46" w:rsidRPr="00344209" w:rsidTr="00C55A46">
        <w:tc>
          <w:tcPr>
            <w:tcW w:w="2736" w:type="dxa"/>
          </w:tcPr>
          <w:p w:rsidR="00C55A46" w:rsidRPr="00C55A46" w:rsidRDefault="00C55A46" w:rsidP="0039684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 w:rsidRPr="000B088B">
              <w:rPr>
                <w:b/>
                <w:color w:val="0000FF"/>
                <w:sz w:val="20"/>
                <w:szCs w:val="20"/>
                <w:lang w:val="fr-FR"/>
              </w:rPr>
              <w:t>Tâches</w:t>
            </w:r>
            <w:r w:rsidR="00396841" w:rsidRPr="000B088B">
              <w:rPr>
                <w:b/>
                <w:color w:val="0000FF"/>
                <w:sz w:val="20"/>
                <w:szCs w:val="20"/>
                <w:lang w:val="fr-FR"/>
              </w:rPr>
              <w:t xml:space="preserve">-clés et domaines </w:t>
            </w:r>
            <w:r w:rsidRPr="000B088B">
              <w:rPr>
                <w:b/>
                <w:color w:val="0000FF"/>
                <w:sz w:val="20"/>
                <w:szCs w:val="20"/>
                <w:lang w:val="fr-FR"/>
              </w:rPr>
              <w:t>d’activité</w:t>
            </w:r>
          </w:p>
        </w:tc>
        <w:tc>
          <w:tcPr>
            <w:tcW w:w="6546" w:type="dxa"/>
          </w:tcPr>
          <w:p w:rsidR="00C55A46" w:rsidRPr="00C55A46" w:rsidRDefault="00C55A46" w:rsidP="00A66F68">
            <w:pPr>
              <w:rPr>
                <w:sz w:val="20"/>
                <w:szCs w:val="20"/>
                <w:lang w:val="fr-FR"/>
              </w:rPr>
            </w:pPr>
          </w:p>
          <w:p w:rsidR="00C55A46" w:rsidRPr="00C55A46" w:rsidRDefault="00C55A46" w:rsidP="00A66F68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Finalités</w:t>
            </w:r>
            <w:r w:rsidR="00396841" w:rsidRPr="000B088B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-</w:t>
            </w:r>
            <w:r w:rsidRPr="000B088B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clés</w:t>
            </w:r>
          </w:p>
          <w:p w:rsidR="00C55A46" w:rsidRPr="00C55A46" w:rsidRDefault="00C55A46" w:rsidP="00A66F68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2037CA" w:rsidRDefault="002037CA" w:rsidP="00973B7D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Diriger un groupe</w:t>
            </w:r>
            <w:r w:rsidR="00A8289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8A7174">
              <w:rPr>
                <w:rFonts w:cs="Arial"/>
                <w:color w:val="000000"/>
                <w:sz w:val="20"/>
                <w:szCs w:val="20"/>
                <w:lang w:val="fr-FR"/>
              </w:rPr>
              <w:t>d’assistants</w:t>
            </w:r>
            <w:r w:rsidR="00A8289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et/ou</w:t>
            </w: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d'experts opérationnels afin de pouvoir résoudre des situations critiques exigeant des connaissances et compétences plus approfondies.</w:t>
            </w:r>
          </w:p>
          <w:p w:rsidR="00C55A46" w:rsidRPr="00C55A46" w:rsidRDefault="00C55A46" w:rsidP="00A66F68">
            <w:pPr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  <w:p w:rsidR="00C55A46" w:rsidRPr="00C55A46" w:rsidRDefault="002037CA" w:rsidP="00A66F68">
            <w:pPr>
              <w:ind w:firstLine="360"/>
              <w:outlineLvl w:val="0"/>
              <w:rPr>
                <w:rFonts w:cs="Arial"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sz w:val="20"/>
                <w:szCs w:val="20"/>
                <w:u w:val="single"/>
                <w:lang w:val="fr-FR"/>
              </w:rPr>
              <w:t>Tâches possibles (non limitatives) :</w:t>
            </w:r>
          </w:p>
          <w:p w:rsidR="002037CA" w:rsidRDefault="002037CA" w:rsidP="00973B7D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Agir en tant que dirigeant des plongeurs, avec les missions principales d'assurer le suivi et de garantir la sécurité de l'équipe de plongeur pendant leur intervention.</w:t>
            </w:r>
          </w:p>
          <w:p w:rsidR="00C55A46" w:rsidRPr="00C55A46" w:rsidRDefault="002037CA" w:rsidP="00973B7D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Agir en tant que dirigeant de l'intervention et donc diriger, assurer le suivi et garantir la sécurité d'une équipe de sauvetage en hauteur ou dans des espaces difficilement accessibles.</w:t>
            </w:r>
          </w:p>
          <w:p w:rsidR="00C55A46" w:rsidRPr="00C55A46" w:rsidRDefault="002037CA" w:rsidP="00973B7D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Agir en tant que dirigeant de l'intervention lors d'une intervention impliquant des substances dangereuses, diriger, suivre et garantir la sécurité d'une équipe de porteur de tenues anti-gaz ou d'une équipe de mesure.</w:t>
            </w:r>
          </w:p>
          <w:p w:rsidR="00C55A46" w:rsidRPr="000B088B" w:rsidRDefault="002037CA" w:rsidP="00973B7D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Assurer la direction et la formation de missions spécialisées, ainsi que l'évaluation, l'enregistrement des </w:t>
            </w:r>
            <w:r w:rsidRPr="000B088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participants et </w:t>
            </w:r>
            <w:r w:rsidR="00040EAC" w:rsidRPr="000B088B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le maintien </w:t>
            </w:r>
            <w:r w:rsidRPr="000B088B">
              <w:rPr>
                <w:rFonts w:cs="Arial"/>
                <w:color w:val="000000"/>
                <w:sz w:val="20"/>
                <w:szCs w:val="20"/>
                <w:lang w:val="fr-FR"/>
              </w:rPr>
              <w:t>de la qualité de la formation.</w:t>
            </w:r>
          </w:p>
          <w:p w:rsidR="00C55A46" w:rsidRDefault="002037CA" w:rsidP="00A8289C">
            <w:pPr>
              <w:numPr>
                <w:ilvl w:val="1"/>
                <w:numId w:val="3"/>
              </w:numPr>
              <w:tabs>
                <w:tab w:val="clear" w:pos="1440"/>
                <w:tab w:val="num" w:pos="720"/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cs="Arial"/>
                <w:color w:val="000000"/>
                <w:sz w:val="20"/>
                <w:szCs w:val="20"/>
                <w:lang w:val="fr-FR"/>
              </w:rPr>
              <w:t>Soumettre à l'officier responsable des propositions d'amélioration au ni</w:t>
            </w:r>
            <w:r w:rsidR="00A8289C">
              <w:rPr>
                <w:rFonts w:cs="Arial"/>
                <w:color w:val="000000"/>
                <w:sz w:val="20"/>
                <w:szCs w:val="20"/>
                <w:lang w:val="fr-FR"/>
              </w:rPr>
              <w:t>veau des méthodes et des moyens.</w:t>
            </w:r>
          </w:p>
          <w:p w:rsidR="005A3FE3" w:rsidRPr="002037CA" w:rsidRDefault="005A3FE3" w:rsidP="005A3FE3">
            <w:pPr>
              <w:tabs>
                <w:tab w:val="num" w:pos="900"/>
              </w:tabs>
              <w:ind w:left="720"/>
              <w:rPr>
                <w:rFonts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B65117" w:rsidRPr="00344209" w:rsidTr="00C55A46">
        <w:tc>
          <w:tcPr>
            <w:tcW w:w="2736" w:type="dxa"/>
          </w:tcPr>
          <w:p w:rsidR="00B65117" w:rsidRPr="00C55A46" w:rsidRDefault="002037CA" w:rsidP="009A0481">
            <w:pPr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Place dans l'organisation</w:t>
            </w:r>
          </w:p>
        </w:tc>
        <w:tc>
          <w:tcPr>
            <w:tcW w:w="6546" w:type="dxa"/>
          </w:tcPr>
          <w:p w:rsidR="00B65117" w:rsidRPr="00C55A46" w:rsidRDefault="00B65117" w:rsidP="00B6511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  <w:p w:rsidR="002037CA" w:rsidRPr="005D4B65" w:rsidRDefault="002037CA" w:rsidP="002037CA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La fonction est dirigée par </w:t>
            </w:r>
            <w:r w:rsidRPr="005D4B6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2037CA" w:rsidRDefault="002037CA" w:rsidP="002037CA">
            <w:p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lastRenderedPageBreak/>
              <w:t xml:space="preserve">Dans des situations opérationnelles, il est </w:t>
            </w:r>
            <w:r w:rsidR="00A8289C">
              <w:rPr>
                <w:rFonts w:cs="Arial"/>
                <w:sz w:val="20"/>
                <w:szCs w:val="20"/>
                <w:lang w:val="fr-FR"/>
              </w:rPr>
              <w:t>placé sous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la direction fonctionnelle d'un adjudant ou d</w:t>
            </w:r>
            <w:r w:rsidR="00A8289C">
              <w:rPr>
                <w:rFonts w:cs="Arial"/>
                <w:sz w:val="20"/>
                <w:szCs w:val="20"/>
                <w:lang w:val="fr-FR"/>
              </w:rPr>
              <w:t>u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cadre supérieur.</w:t>
            </w:r>
          </w:p>
          <w:p w:rsidR="002037CA" w:rsidRPr="005D4B65" w:rsidRDefault="002037CA" w:rsidP="002037CA">
            <w:pPr>
              <w:rPr>
                <w:rFonts w:cs="Arial"/>
                <w:sz w:val="20"/>
                <w:szCs w:val="20"/>
                <w:lang w:val="fr-FR"/>
              </w:rPr>
            </w:pPr>
          </w:p>
          <w:p w:rsidR="002037CA" w:rsidRPr="005D4B65" w:rsidRDefault="002037CA" w:rsidP="002037CA">
            <w:pPr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FR"/>
              </w:rPr>
              <w:t xml:space="preserve">La fonction dirige </w:t>
            </w:r>
            <w:r w:rsidRPr="005D4B65">
              <w:rPr>
                <w:rFonts w:cs="Arial"/>
                <w:b/>
                <w:sz w:val="20"/>
                <w:szCs w:val="20"/>
                <w:u w:val="single"/>
                <w:lang w:val="fr-FR"/>
              </w:rPr>
              <w:t>:</w:t>
            </w:r>
          </w:p>
          <w:p w:rsidR="002037CA" w:rsidRPr="005D4B65" w:rsidRDefault="002037CA" w:rsidP="002037CA">
            <w:pPr>
              <w:outlineLvl w:val="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 xml:space="preserve">Un groupe </w:t>
            </w:r>
            <w:r w:rsidR="008A7174">
              <w:rPr>
                <w:rFonts w:cs="Arial"/>
                <w:sz w:val="20"/>
                <w:szCs w:val="20"/>
                <w:lang w:val="fr-FR"/>
              </w:rPr>
              <w:t>d’assistants</w:t>
            </w:r>
            <w:r w:rsidR="00A8289C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et/ou</w:t>
            </w:r>
            <w:r w:rsidR="00A8289C" w:rsidRPr="00C55A46">
              <w:rPr>
                <w:rFonts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A8289C">
              <w:rPr>
                <w:rFonts w:cs="Arial"/>
                <w:sz w:val="20"/>
                <w:szCs w:val="20"/>
                <w:lang w:val="fr-FR"/>
              </w:rPr>
              <w:t>d’experts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DC28F6">
              <w:rPr>
                <w:rFonts w:cs="Arial"/>
                <w:sz w:val="20"/>
                <w:szCs w:val="20"/>
                <w:lang w:val="fr-FR"/>
              </w:rPr>
              <w:t>opérationnels</w:t>
            </w:r>
            <w:r w:rsidR="00A8289C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2037CA" w:rsidRDefault="002037CA" w:rsidP="00B65117">
            <w:pPr>
              <w:jc w:val="both"/>
              <w:outlineLvl w:val="0"/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</w:p>
          <w:p w:rsidR="00D719DA" w:rsidRDefault="00D719DA" w:rsidP="00A66F68">
            <w:pPr>
              <w:rPr>
                <w:sz w:val="20"/>
                <w:szCs w:val="20"/>
                <w:lang w:val="fr-FR"/>
              </w:rPr>
            </w:pPr>
          </w:p>
          <w:p w:rsidR="00D719DA" w:rsidRPr="00C55A46" w:rsidRDefault="00D719DA" w:rsidP="00A66F68">
            <w:pPr>
              <w:rPr>
                <w:sz w:val="20"/>
                <w:szCs w:val="20"/>
                <w:lang w:val="fr-FR"/>
              </w:rPr>
            </w:pPr>
          </w:p>
        </w:tc>
      </w:tr>
      <w:tr w:rsidR="006400C9" w:rsidRPr="00344209" w:rsidTr="00C55A46">
        <w:tc>
          <w:tcPr>
            <w:tcW w:w="2736" w:type="dxa"/>
          </w:tcPr>
          <w:p w:rsidR="006400C9" w:rsidRPr="00C55A46" w:rsidRDefault="006400C9" w:rsidP="00D93787">
            <w:pPr>
              <w:rPr>
                <w:b/>
                <w:color w:val="0000FF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</w:tcPr>
          <w:p w:rsidR="006400C9" w:rsidRPr="00C55A46" w:rsidRDefault="006400C9" w:rsidP="00C24CDE">
            <w:pPr>
              <w:rPr>
                <w:sz w:val="20"/>
                <w:szCs w:val="20"/>
                <w:lang w:val="fr-FR"/>
              </w:rPr>
            </w:pPr>
          </w:p>
          <w:p w:rsidR="002037CA" w:rsidRDefault="002037CA" w:rsidP="002037CA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La description de fonction pour les parties :</w:t>
            </w:r>
          </w:p>
          <w:p w:rsidR="002037CA" w:rsidRPr="00A02B45" w:rsidRDefault="002037CA" w:rsidP="002037CA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Eléments de réseau</w:t>
            </w:r>
          </w:p>
          <w:p w:rsidR="002037CA" w:rsidRPr="00A02B45" w:rsidRDefault="002037CA" w:rsidP="002037CA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2B45">
              <w:rPr>
                <w:rFonts w:ascii="Arial" w:hAnsi="Arial" w:cs="Arial"/>
                <w:sz w:val="20"/>
                <w:szCs w:val="20"/>
                <w:lang w:val="fr-FR"/>
              </w:rPr>
              <w:t>Autonomie</w:t>
            </w:r>
          </w:p>
          <w:p w:rsidR="002037CA" w:rsidRPr="00A02B45" w:rsidRDefault="002037CA" w:rsidP="002037CA">
            <w:pPr>
              <w:pStyle w:val="Lijstalinea"/>
              <w:numPr>
                <w:ilvl w:val="0"/>
                <w:numId w:val="9"/>
              </w:numPr>
              <w:jc w:val="both"/>
              <w:outlineLvl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2B45">
              <w:rPr>
                <w:rFonts w:ascii="Arial" w:hAnsi="Arial" w:cs="Arial"/>
                <w:sz w:val="20"/>
                <w:szCs w:val="20"/>
                <w:lang w:val="fr-FR"/>
              </w:rPr>
              <w:t>Situations et conditions de travail</w:t>
            </w:r>
          </w:p>
          <w:p w:rsidR="00A8289C" w:rsidRDefault="00A8289C" w:rsidP="002037CA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  <w:p w:rsidR="006400C9" w:rsidRDefault="00A8289C" w:rsidP="002037CA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es</w:t>
            </w:r>
            <w:r w:rsidR="002037CA">
              <w:rPr>
                <w:sz w:val="20"/>
                <w:szCs w:val="20"/>
                <w:lang w:val="fr-FR"/>
              </w:rPr>
              <w:t>t disponible dans la</w:t>
            </w:r>
            <w:r w:rsidR="00B13DB3">
              <w:rPr>
                <w:sz w:val="20"/>
                <w:szCs w:val="20"/>
                <w:lang w:val="fr-FR"/>
              </w:rPr>
              <w:t xml:space="preserve"> description de</w:t>
            </w:r>
            <w:r>
              <w:rPr>
                <w:sz w:val="20"/>
                <w:szCs w:val="20"/>
                <w:lang w:val="fr-FR"/>
              </w:rPr>
              <w:t xml:space="preserve"> fonction connexe </w:t>
            </w:r>
            <w:r w:rsidRPr="00A8289C">
              <w:rPr>
                <w:sz w:val="20"/>
                <w:szCs w:val="20"/>
                <w:lang w:val="fr-FR"/>
              </w:rPr>
              <w:t>(s</w:t>
            </w:r>
            <w:r>
              <w:rPr>
                <w:sz w:val="20"/>
                <w:szCs w:val="20"/>
                <w:lang w:val="fr-FR"/>
              </w:rPr>
              <w:t>ergent, adjudant</w:t>
            </w:r>
            <w:r w:rsidRPr="00A8289C">
              <w:rPr>
                <w:sz w:val="20"/>
                <w:szCs w:val="20"/>
                <w:lang w:val="fr-FR"/>
              </w:rPr>
              <w:t>) ou selon les dispositions de l’arrêté royal du 19 avril 2014 relatif au statut du personnel opérationnel des zones de secours.</w:t>
            </w:r>
          </w:p>
          <w:p w:rsidR="00A8289C" w:rsidRPr="00C55A46" w:rsidRDefault="00A8289C" w:rsidP="002037CA">
            <w:pPr>
              <w:jc w:val="both"/>
              <w:outlineLvl w:val="0"/>
              <w:rPr>
                <w:sz w:val="20"/>
                <w:szCs w:val="20"/>
                <w:lang w:val="fr-FR"/>
              </w:rPr>
            </w:pPr>
          </w:p>
        </w:tc>
      </w:tr>
    </w:tbl>
    <w:p w:rsidR="00C1200D" w:rsidRPr="00C55A46" w:rsidRDefault="00C1200D">
      <w:pPr>
        <w:rPr>
          <w:lang w:val="fr-FR"/>
        </w:rPr>
      </w:pPr>
    </w:p>
    <w:p w:rsidR="00CC5128" w:rsidRPr="00C55A46" w:rsidRDefault="00CC5128">
      <w:pPr>
        <w:rPr>
          <w:lang w:val="fr-FR"/>
        </w:rPr>
      </w:pPr>
    </w:p>
    <w:p w:rsidR="00CC5128" w:rsidRPr="00C55A46" w:rsidRDefault="00CC5128">
      <w:pPr>
        <w:rPr>
          <w:lang w:val="fr-FR"/>
        </w:rPr>
      </w:pPr>
    </w:p>
    <w:p w:rsidR="00A8289C" w:rsidRPr="007335DC" w:rsidRDefault="00A8289C" w:rsidP="00A8289C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 xml:space="preserve">Vu pour être annexé à </w:t>
      </w:r>
      <w:r>
        <w:rPr>
          <w:rFonts w:ascii="Univers" w:eastAsia="Times New Roman" w:hAnsi="Univers"/>
          <w:color w:val="000000"/>
          <w:lang w:val="fr-FR" w:eastAsia="fr-BE"/>
        </w:rPr>
        <w:t>l’</w:t>
      </w:r>
      <w:r w:rsidRPr="007335DC">
        <w:rPr>
          <w:rFonts w:ascii="Univers" w:eastAsia="Times New Roman" w:hAnsi="Univers"/>
          <w:color w:val="000000"/>
          <w:lang w:val="fr-FR" w:eastAsia="fr-BE"/>
        </w:rPr>
        <w:t>arrêté du … fixant les descriptions de fonction du personnel opérationnel des zones de secours</w:t>
      </w:r>
    </w:p>
    <w:p w:rsidR="00A8289C" w:rsidRPr="007335DC" w:rsidRDefault="00A8289C" w:rsidP="00A8289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A8289C" w:rsidRPr="007335DC" w:rsidRDefault="00A8289C" w:rsidP="00A8289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A8289C" w:rsidRPr="007335DC" w:rsidRDefault="00A8289C" w:rsidP="00A8289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A8289C" w:rsidRPr="007335DC" w:rsidRDefault="00A8289C" w:rsidP="00A8289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A8289C" w:rsidRPr="007335DC" w:rsidRDefault="00A8289C" w:rsidP="00A8289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A8289C" w:rsidRPr="007335DC" w:rsidRDefault="00A8289C" w:rsidP="00A8289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A8289C" w:rsidRPr="007335DC" w:rsidRDefault="00A8289C" w:rsidP="00A8289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A8289C" w:rsidRPr="007335DC" w:rsidRDefault="00A8289C" w:rsidP="00A8289C">
      <w:pPr>
        <w:tabs>
          <w:tab w:val="left" w:pos="284"/>
          <w:tab w:val="left" w:pos="567"/>
        </w:tabs>
        <w:ind w:right="-9"/>
        <w:jc w:val="both"/>
        <w:rPr>
          <w:rFonts w:ascii="Univers" w:eastAsia="Times New Roman" w:hAnsi="Univers"/>
          <w:color w:val="000000"/>
          <w:lang w:val="fr-FR" w:eastAsia="fr-BE"/>
        </w:rPr>
      </w:pPr>
    </w:p>
    <w:p w:rsidR="00A8289C" w:rsidRPr="007335DC" w:rsidRDefault="00A8289C" w:rsidP="00A8289C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</w:p>
    <w:p w:rsidR="00A8289C" w:rsidRPr="007335DC" w:rsidRDefault="00A8289C" w:rsidP="00A8289C">
      <w:pPr>
        <w:tabs>
          <w:tab w:val="left" w:pos="284"/>
          <w:tab w:val="left" w:pos="567"/>
        </w:tabs>
        <w:ind w:right="-9"/>
        <w:jc w:val="center"/>
        <w:rPr>
          <w:rFonts w:ascii="Univers" w:eastAsia="Times New Roman" w:hAnsi="Univers"/>
          <w:color w:val="000000"/>
          <w:lang w:val="fr-FR" w:eastAsia="fr-BE"/>
        </w:rPr>
      </w:pPr>
      <w:r w:rsidRPr="007335DC">
        <w:rPr>
          <w:rFonts w:ascii="Univers" w:eastAsia="Times New Roman" w:hAnsi="Univers"/>
          <w:color w:val="000000"/>
          <w:lang w:val="fr-FR" w:eastAsia="fr-BE"/>
        </w:rPr>
        <w:t>Jan JAMBON</w:t>
      </w:r>
    </w:p>
    <w:p w:rsidR="00EC4FE1" w:rsidRPr="00C55A46" w:rsidRDefault="00EC4FE1">
      <w:pPr>
        <w:rPr>
          <w:lang w:val="fr-FR"/>
        </w:rPr>
      </w:pPr>
    </w:p>
    <w:sectPr w:rsidR="00EC4FE1" w:rsidRPr="00C55A46" w:rsidSect="001F4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D" w:rsidRDefault="0001103D" w:rsidP="008F4853">
      <w:r>
        <w:separator/>
      </w:r>
    </w:p>
  </w:endnote>
  <w:endnote w:type="continuationSeparator" w:id="0">
    <w:p w:rsidR="0001103D" w:rsidRDefault="0001103D" w:rsidP="008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D" w:rsidRDefault="0001103D" w:rsidP="008F4853">
      <w:r>
        <w:separator/>
      </w:r>
    </w:p>
  </w:footnote>
  <w:footnote w:type="continuationSeparator" w:id="0">
    <w:p w:rsidR="0001103D" w:rsidRDefault="0001103D" w:rsidP="008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C5D"/>
    <w:multiLevelType w:val="hybridMultilevel"/>
    <w:tmpl w:val="DC46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07C"/>
    <w:multiLevelType w:val="hybridMultilevel"/>
    <w:tmpl w:val="9D9CFDBA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201E5"/>
    <w:multiLevelType w:val="hybridMultilevel"/>
    <w:tmpl w:val="D8EA291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8517E"/>
    <w:multiLevelType w:val="hybridMultilevel"/>
    <w:tmpl w:val="1546A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66D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B62C4"/>
    <w:multiLevelType w:val="hybridMultilevel"/>
    <w:tmpl w:val="944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F2DB5"/>
    <w:multiLevelType w:val="hybridMultilevel"/>
    <w:tmpl w:val="8BEEBDE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C6DBE"/>
    <w:multiLevelType w:val="hybridMultilevel"/>
    <w:tmpl w:val="C658C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44B"/>
    <w:multiLevelType w:val="hybridMultilevel"/>
    <w:tmpl w:val="0050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A63"/>
    <w:multiLevelType w:val="hybridMultilevel"/>
    <w:tmpl w:val="7122A168"/>
    <w:lvl w:ilvl="0" w:tplc="36166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1"/>
    <w:rsid w:val="0001103D"/>
    <w:rsid w:val="00026778"/>
    <w:rsid w:val="00040EAC"/>
    <w:rsid w:val="000711C0"/>
    <w:rsid w:val="000A00A5"/>
    <w:rsid w:val="000B088B"/>
    <w:rsid w:val="00123D5E"/>
    <w:rsid w:val="001F4078"/>
    <w:rsid w:val="002037CA"/>
    <w:rsid w:val="0025443A"/>
    <w:rsid w:val="003204FF"/>
    <w:rsid w:val="00344209"/>
    <w:rsid w:val="0035708C"/>
    <w:rsid w:val="00377A38"/>
    <w:rsid w:val="00396841"/>
    <w:rsid w:val="003B21AC"/>
    <w:rsid w:val="003C6AD0"/>
    <w:rsid w:val="00556319"/>
    <w:rsid w:val="005A3477"/>
    <w:rsid w:val="005A3FE3"/>
    <w:rsid w:val="005E11F1"/>
    <w:rsid w:val="006400C9"/>
    <w:rsid w:val="006A163E"/>
    <w:rsid w:val="007265E9"/>
    <w:rsid w:val="007E416B"/>
    <w:rsid w:val="007F2A66"/>
    <w:rsid w:val="008655BE"/>
    <w:rsid w:val="008A7174"/>
    <w:rsid w:val="008B71DB"/>
    <w:rsid w:val="008F4853"/>
    <w:rsid w:val="00917175"/>
    <w:rsid w:val="00927DFA"/>
    <w:rsid w:val="00950924"/>
    <w:rsid w:val="00973B7D"/>
    <w:rsid w:val="00981462"/>
    <w:rsid w:val="009A0481"/>
    <w:rsid w:val="009B3D0E"/>
    <w:rsid w:val="009C6A66"/>
    <w:rsid w:val="00A66F68"/>
    <w:rsid w:val="00A8289C"/>
    <w:rsid w:val="00B13DB3"/>
    <w:rsid w:val="00B311DD"/>
    <w:rsid w:val="00B65117"/>
    <w:rsid w:val="00B85459"/>
    <w:rsid w:val="00C1200D"/>
    <w:rsid w:val="00C55A46"/>
    <w:rsid w:val="00C57591"/>
    <w:rsid w:val="00CB305D"/>
    <w:rsid w:val="00CC5128"/>
    <w:rsid w:val="00D12F39"/>
    <w:rsid w:val="00D27580"/>
    <w:rsid w:val="00D65FB1"/>
    <w:rsid w:val="00D719DA"/>
    <w:rsid w:val="00D93787"/>
    <w:rsid w:val="00DA62C7"/>
    <w:rsid w:val="00DC28F6"/>
    <w:rsid w:val="00E92BFF"/>
    <w:rsid w:val="00E9399D"/>
    <w:rsid w:val="00EC4FE1"/>
    <w:rsid w:val="00EE7D29"/>
    <w:rsid w:val="00F01B4B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A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A0481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8F4853"/>
  </w:style>
  <w:style w:type="character" w:customStyle="1" w:styleId="VoetnoottekstChar">
    <w:name w:val="Voetnoottekst Char"/>
    <w:basedOn w:val="Standaardalinea-lettertype"/>
    <w:link w:val="Voetnoottekst"/>
    <w:uiPriority w:val="99"/>
    <w:rsid w:val="008F4853"/>
    <w:rPr>
      <w:rFonts w:cs="Times New Roman"/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8F485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485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F48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4853"/>
    <w:rPr>
      <w:rFonts w:cs="Times New Roman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2A66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A66"/>
    <w:rPr>
      <w:rFonts w:ascii="Lucida Grande" w:hAnsi="Lucida Grande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Brandweer Roeselare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Vangierdegom</dc:creator>
  <cp:lastModifiedBy>IBZ</cp:lastModifiedBy>
  <cp:revision>2</cp:revision>
  <cp:lastPrinted>2014-05-05T09:59:00Z</cp:lastPrinted>
  <dcterms:created xsi:type="dcterms:W3CDTF">2016-04-19T09:33:00Z</dcterms:created>
  <dcterms:modified xsi:type="dcterms:W3CDTF">2016-04-19T09:33:00Z</dcterms:modified>
</cp:coreProperties>
</file>