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58" w:rsidRPr="00716588" w:rsidRDefault="000F5813">
      <w:pPr>
        <w:rPr>
          <w:lang w:val="fr-FR"/>
        </w:rPr>
      </w:pPr>
      <w:r w:rsidRPr="00716588">
        <w:rPr>
          <w:lang w:val="fr-FR"/>
        </w:rPr>
        <w:t>ANNEXE 18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777"/>
        <w:gridCol w:w="2035"/>
        <w:gridCol w:w="4470"/>
      </w:tblGrid>
      <w:tr w:rsidR="00BE0919" w:rsidRPr="00716588" w:rsidTr="00F9413E">
        <w:trPr>
          <w:trHeight w:val="367"/>
        </w:trPr>
        <w:tc>
          <w:tcPr>
            <w:tcW w:w="2777" w:type="dxa"/>
            <w:vMerge w:val="restart"/>
            <w:tcBorders>
              <w:right w:val="single" w:sz="4" w:space="0" w:color="auto"/>
            </w:tcBorders>
          </w:tcPr>
          <w:p w:rsidR="00BE0919" w:rsidRPr="00716588" w:rsidRDefault="00120C58" w:rsidP="00120C58">
            <w:pPr>
              <w:tabs>
                <w:tab w:val="left" w:pos="795"/>
              </w:tabs>
              <w:rPr>
                <w:lang w:val="fr-FR"/>
              </w:rPr>
            </w:pPr>
            <w:r w:rsidRPr="00716588">
              <w:rPr>
                <w:lang w:val="fr-FR"/>
              </w:rPr>
              <w:tab/>
            </w:r>
          </w:p>
          <w:p w:rsidR="00120C58" w:rsidRPr="00716588" w:rsidRDefault="00120C58" w:rsidP="00120C58">
            <w:pPr>
              <w:tabs>
                <w:tab w:val="left" w:pos="795"/>
              </w:tabs>
              <w:rPr>
                <w:lang w:val="fr-FR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E0919" w:rsidRPr="00716588" w:rsidRDefault="00BE0919">
            <w:pPr>
              <w:rPr>
                <w:lang w:val="fr-FR"/>
              </w:rPr>
            </w:pPr>
          </w:p>
          <w:p w:rsidR="00204598" w:rsidRPr="00716588" w:rsidRDefault="00204598" w:rsidP="00204598">
            <w:pPr>
              <w:shd w:val="clear" w:color="auto" w:fill="D9D9D9" w:themeFill="background1" w:themeFillShade="D9"/>
              <w:jc w:val="center"/>
              <w:rPr>
                <w:color w:val="0000FF"/>
                <w:sz w:val="48"/>
                <w:szCs w:val="48"/>
                <w:u w:val="single"/>
                <w:lang w:val="fr-FR"/>
              </w:rPr>
            </w:pPr>
            <w:r w:rsidRPr="00716588">
              <w:rPr>
                <w:color w:val="0000FF"/>
                <w:sz w:val="48"/>
                <w:szCs w:val="48"/>
                <w:u w:val="single"/>
                <w:lang w:val="fr-FR"/>
              </w:rPr>
              <w:t>Description de fonction</w:t>
            </w:r>
          </w:p>
          <w:p w:rsidR="00BE0919" w:rsidRPr="00716588" w:rsidRDefault="00BE0919">
            <w:pPr>
              <w:rPr>
                <w:lang w:val="fr-FR"/>
              </w:rPr>
            </w:pPr>
          </w:p>
        </w:tc>
      </w:tr>
      <w:tr w:rsidR="00BE0919" w:rsidRPr="00716588" w:rsidTr="00F9413E">
        <w:trPr>
          <w:trHeight w:val="366"/>
        </w:trPr>
        <w:tc>
          <w:tcPr>
            <w:tcW w:w="2777" w:type="dxa"/>
            <w:vMerge/>
            <w:tcBorders>
              <w:right w:val="single" w:sz="4" w:space="0" w:color="auto"/>
            </w:tcBorders>
          </w:tcPr>
          <w:p w:rsidR="00BE0919" w:rsidRPr="00716588" w:rsidRDefault="00BE0919">
            <w:pPr>
              <w:rPr>
                <w:lang w:val="fr-FR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19" w:rsidRPr="00716588" w:rsidRDefault="000F5813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fr-FR"/>
              </w:rPr>
            </w:pPr>
            <w:r w:rsidRPr="00716588">
              <w:rPr>
                <w:b/>
                <w:color w:val="0000FF"/>
                <w:sz w:val="48"/>
                <w:szCs w:val="48"/>
                <w:lang w:val="fr-FR"/>
              </w:rPr>
              <w:t xml:space="preserve">Coordinateur </w:t>
            </w:r>
            <w:r w:rsidR="00E749F5" w:rsidRPr="00716588">
              <w:rPr>
                <w:b/>
                <w:color w:val="0000FF"/>
                <w:sz w:val="48"/>
                <w:szCs w:val="48"/>
                <w:lang w:val="fr-FR"/>
              </w:rPr>
              <w:t>Ambulancier</w:t>
            </w:r>
          </w:p>
          <w:p w:rsidR="003D0D91" w:rsidRPr="00716588" w:rsidRDefault="003D0D91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lang w:val="fr-FR"/>
              </w:rPr>
            </w:pPr>
            <w:r w:rsidRPr="00716588">
              <w:rPr>
                <w:b/>
                <w:color w:val="0000FF"/>
                <w:lang w:val="fr-FR"/>
              </w:rPr>
              <w:t>(</w:t>
            </w:r>
            <w:r w:rsidR="00204598" w:rsidRPr="00716588">
              <w:rPr>
                <w:b/>
                <w:color w:val="0000FF"/>
                <w:lang w:val="fr-FR"/>
              </w:rPr>
              <w:t>cadre opérationnel</w:t>
            </w:r>
            <w:r w:rsidRPr="00716588">
              <w:rPr>
                <w:b/>
                <w:color w:val="0000FF"/>
                <w:lang w:val="fr-FR"/>
              </w:rPr>
              <w:t>)</w:t>
            </w:r>
          </w:p>
          <w:p w:rsidR="00BE0919" w:rsidRPr="00716588" w:rsidRDefault="00BE0919">
            <w:pPr>
              <w:rPr>
                <w:lang w:val="fr-FR"/>
              </w:rPr>
            </w:pPr>
          </w:p>
        </w:tc>
      </w:tr>
      <w:tr w:rsidR="00BE0919" w:rsidRPr="00D54FA5" w:rsidTr="00F9413E">
        <w:tc>
          <w:tcPr>
            <w:tcW w:w="2777" w:type="dxa"/>
          </w:tcPr>
          <w:p w:rsidR="00BE0919" w:rsidRPr="0071658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:rsidR="00BE0919" w:rsidRPr="0071658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:rsidR="00BE0919" w:rsidRPr="0071658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:rsidR="00BE0919" w:rsidRPr="0071658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:rsidR="00BE0919" w:rsidRPr="0071658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</w:tcBorders>
          </w:tcPr>
          <w:p w:rsidR="00BE0919" w:rsidRPr="00716588" w:rsidRDefault="00BE0919" w:rsidP="00BE0919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fr-FR"/>
              </w:rPr>
            </w:pPr>
          </w:p>
          <w:p w:rsidR="00204598" w:rsidRPr="0071658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Cette fonction est </w:t>
            </w:r>
            <w:r w:rsidR="003E48F0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en principe </w:t>
            </w:r>
            <w:r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>associée</w:t>
            </w:r>
            <w:r w:rsidR="000F5813"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au minimum</w:t>
            </w:r>
            <w:r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à celle de </w:t>
            </w:r>
            <w:r w:rsidR="000F5813"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>sergent</w:t>
            </w:r>
            <w:r w:rsidR="00C01137">
              <w:rPr>
                <w:rFonts w:cs="Arial"/>
                <w:color w:val="000000"/>
                <w:sz w:val="20"/>
                <w:szCs w:val="20"/>
                <w:lang w:val="fr-FR"/>
              </w:rPr>
              <w:t>, adjudant ou lieutenant</w:t>
            </w:r>
            <w:r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>.</w:t>
            </w:r>
          </w:p>
          <w:p w:rsidR="00120C58" w:rsidRPr="00716588" w:rsidRDefault="00120C5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:rsidR="00204598" w:rsidRPr="0071658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>La zone</w:t>
            </w:r>
            <w:r w:rsidR="002C1C82"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716588">
              <w:rPr>
                <w:rFonts w:cs="Arial"/>
                <w:color w:val="000000"/>
                <w:sz w:val="20"/>
                <w:szCs w:val="20"/>
                <w:lang w:val="fr-FR"/>
              </w:rPr>
              <w:t>prévoit cette fonction en fonction de son analyse des risques.</w:t>
            </w:r>
          </w:p>
          <w:p w:rsidR="00204598" w:rsidRPr="0071658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:rsidR="00E749F5" w:rsidRPr="0071658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Il est toutefois possible que</w:t>
            </w:r>
            <w:r w:rsidR="00D54FA5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,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dans certaines zones</w:t>
            </w:r>
            <w:r w:rsidR="00D54FA5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,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0F5813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un ou plusieurs coordinateurs 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ambulancier</w:t>
            </w:r>
            <w:r w:rsidR="000F5813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s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0F5813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entrés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en service n'effectue</w:t>
            </w:r>
            <w:r w:rsidR="000F5813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nt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aucune tâche opérationnelle</w:t>
            </w:r>
            <w:r w:rsidR="00D54FA5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pompier</w:t>
            </w:r>
            <w:r w:rsidR="001C6AA5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et n’aient pas un grade de pompier</w:t>
            </w:r>
            <w:r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. </w:t>
            </w:r>
            <w:r w:rsidR="002C1C82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(AR 23</w:t>
            </w:r>
            <w:r w:rsidR="00120C58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/</w:t>
            </w:r>
            <w:r w:rsidR="002C1C82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08</w:t>
            </w:r>
            <w:r w:rsidR="00120C58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/</w:t>
            </w:r>
            <w:r w:rsidR="002C1C82" w:rsidRPr="008478A9">
              <w:rPr>
                <w:rFonts w:cs="Arial"/>
                <w:color w:val="000000"/>
                <w:sz w:val="20"/>
                <w:szCs w:val="20"/>
                <w:lang w:val="fr-FR"/>
              </w:rPr>
              <w:t>2014)</w:t>
            </w:r>
          </w:p>
          <w:p w:rsidR="00BE0919" w:rsidRPr="00716588" w:rsidRDefault="00BE0919" w:rsidP="004361AC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9A0481" w:rsidRPr="007667BB" w:rsidTr="00F9413E">
        <w:tc>
          <w:tcPr>
            <w:tcW w:w="2777" w:type="dxa"/>
          </w:tcPr>
          <w:p w:rsidR="009A0481" w:rsidRPr="00716588" w:rsidRDefault="00204598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716588">
              <w:rPr>
                <w:b/>
                <w:color w:val="0000FF"/>
                <w:sz w:val="20"/>
                <w:szCs w:val="20"/>
                <w:lang w:val="fr-FR"/>
              </w:rPr>
              <w:t xml:space="preserve">Description </w:t>
            </w:r>
          </w:p>
          <w:p w:rsidR="009A0481" w:rsidRPr="00716588" w:rsidRDefault="009A0481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:rsidR="009A0481" w:rsidRPr="00716588" w:rsidRDefault="009A0481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05" w:type="dxa"/>
            <w:gridSpan w:val="2"/>
          </w:tcPr>
          <w:p w:rsidR="00E749F5" w:rsidRPr="00716588" w:rsidRDefault="00E749F5" w:rsidP="00E749F5">
            <w:pPr>
              <w:rPr>
                <w:sz w:val="20"/>
                <w:szCs w:val="20"/>
                <w:lang w:val="fr-FR"/>
              </w:rPr>
            </w:pPr>
          </w:p>
          <w:p w:rsidR="000F5813" w:rsidRPr="00716588" w:rsidRDefault="00120C58" w:rsidP="00E749F5">
            <w:pPr>
              <w:rPr>
                <w:sz w:val="20"/>
                <w:szCs w:val="20"/>
                <w:lang w:val="fr-FR"/>
              </w:rPr>
            </w:pPr>
            <w:r w:rsidRPr="00716588">
              <w:rPr>
                <w:sz w:val="20"/>
                <w:szCs w:val="20"/>
                <w:lang w:val="fr-FR"/>
              </w:rPr>
              <w:t>Le</w:t>
            </w:r>
            <w:r w:rsidR="00C33F06" w:rsidRPr="00716588">
              <w:rPr>
                <w:sz w:val="20"/>
                <w:szCs w:val="20"/>
                <w:lang w:val="fr-FR"/>
              </w:rPr>
              <w:t xml:space="preserve"> </w:t>
            </w:r>
            <w:r w:rsidR="000F5813" w:rsidRPr="00716588">
              <w:rPr>
                <w:sz w:val="20"/>
                <w:szCs w:val="20"/>
                <w:lang w:val="fr-FR"/>
              </w:rPr>
              <w:t>coordinateur</w:t>
            </w:r>
            <w:r w:rsidR="00C33F06" w:rsidRPr="00716588">
              <w:rPr>
                <w:sz w:val="20"/>
                <w:szCs w:val="20"/>
                <w:lang w:val="fr-FR"/>
              </w:rPr>
              <w:t>-ambulancier</w:t>
            </w:r>
            <w:r w:rsidRPr="00716588">
              <w:rPr>
                <w:sz w:val="20"/>
                <w:szCs w:val="20"/>
                <w:lang w:val="fr-FR"/>
              </w:rPr>
              <w:t xml:space="preserve"> </w:t>
            </w:r>
            <w:r w:rsidR="00C47310">
              <w:rPr>
                <w:sz w:val="20"/>
                <w:szCs w:val="20"/>
                <w:lang w:val="fr-FR"/>
              </w:rPr>
              <w:t xml:space="preserve">assume </w:t>
            </w:r>
            <w:r w:rsidR="000F5813" w:rsidRPr="00716588">
              <w:rPr>
                <w:sz w:val="20"/>
                <w:szCs w:val="20"/>
                <w:lang w:val="fr-FR"/>
              </w:rPr>
              <w:t>la responsabilité de la mise à disposition continue des équipes d'ambulanciers</w:t>
            </w:r>
            <w:r w:rsidR="00C33F06" w:rsidRPr="00716588">
              <w:rPr>
                <w:sz w:val="20"/>
                <w:szCs w:val="20"/>
                <w:lang w:val="fr-FR"/>
              </w:rPr>
              <w:t>.</w:t>
            </w:r>
          </w:p>
          <w:p w:rsidR="000F5813" w:rsidRPr="001C6AA5" w:rsidRDefault="000F5813" w:rsidP="00E749F5">
            <w:pPr>
              <w:rPr>
                <w:sz w:val="20"/>
                <w:szCs w:val="20"/>
                <w:lang w:val="fr-FR"/>
              </w:rPr>
            </w:pPr>
            <w:r w:rsidRPr="00716588">
              <w:rPr>
                <w:sz w:val="20"/>
                <w:szCs w:val="20"/>
                <w:lang w:val="fr-FR"/>
              </w:rPr>
              <w:t xml:space="preserve">Il assure une administration efficace ainsi que la coordination technique et </w:t>
            </w:r>
            <w:r w:rsidRPr="001C6AA5">
              <w:rPr>
                <w:sz w:val="20"/>
                <w:szCs w:val="20"/>
                <w:lang w:val="fr-FR"/>
              </w:rPr>
              <w:t>opérationnel</w:t>
            </w:r>
            <w:r w:rsidR="00D54FA5" w:rsidRPr="001C6AA5">
              <w:rPr>
                <w:sz w:val="20"/>
                <w:szCs w:val="20"/>
                <w:lang w:val="fr-FR"/>
              </w:rPr>
              <w:t>le</w:t>
            </w:r>
            <w:r w:rsidRPr="001C6AA5">
              <w:rPr>
                <w:sz w:val="20"/>
                <w:szCs w:val="20"/>
                <w:lang w:val="fr-FR"/>
              </w:rPr>
              <w:t>.</w:t>
            </w:r>
          </w:p>
          <w:p w:rsidR="00C33F06" w:rsidRPr="00716588" w:rsidRDefault="000F5813" w:rsidP="00E749F5">
            <w:pPr>
              <w:rPr>
                <w:sz w:val="20"/>
                <w:szCs w:val="20"/>
                <w:lang w:val="fr-FR"/>
              </w:rPr>
            </w:pPr>
            <w:r w:rsidRPr="001C6AA5">
              <w:rPr>
                <w:sz w:val="20"/>
                <w:szCs w:val="20"/>
                <w:lang w:val="fr-FR"/>
              </w:rPr>
              <w:t>En outre, il garantit un flux d'information interne de qualité.</w:t>
            </w:r>
            <w:r w:rsidR="00C33F06" w:rsidRPr="00716588">
              <w:rPr>
                <w:sz w:val="20"/>
                <w:szCs w:val="20"/>
                <w:lang w:val="fr-FR"/>
              </w:rPr>
              <w:t xml:space="preserve"> </w:t>
            </w:r>
          </w:p>
          <w:p w:rsidR="00120C58" w:rsidRPr="00C47310" w:rsidRDefault="00C47310" w:rsidP="00E749F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Exceptionnellement il peut jouer </w:t>
            </w:r>
            <w:r w:rsidRPr="00716588">
              <w:rPr>
                <w:sz w:val="20"/>
                <w:szCs w:val="20"/>
                <w:lang w:val="fr-FR"/>
              </w:rPr>
              <w:t>le rôle d'ambulancier, comme prévu dans la descrip</w:t>
            </w:r>
            <w:r>
              <w:rPr>
                <w:sz w:val="20"/>
                <w:szCs w:val="20"/>
                <w:lang w:val="fr-FR"/>
              </w:rPr>
              <w:t>tion de fonction d'ambulancier.</w:t>
            </w:r>
          </w:p>
          <w:p w:rsidR="00F9413E" w:rsidRPr="00C47310" w:rsidRDefault="00F9413E" w:rsidP="000F5813">
            <w:pPr>
              <w:rPr>
                <w:sz w:val="20"/>
                <w:szCs w:val="20"/>
                <w:lang w:val="fr-FR"/>
              </w:rPr>
            </w:pPr>
          </w:p>
        </w:tc>
      </w:tr>
      <w:tr w:rsidR="009A0481" w:rsidRPr="007667BB" w:rsidTr="00F9413E">
        <w:tc>
          <w:tcPr>
            <w:tcW w:w="2777" w:type="dxa"/>
          </w:tcPr>
          <w:p w:rsidR="009A0481" w:rsidRPr="00DD668A" w:rsidRDefault="00204598" w:rsidP="00D54FA5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DD668A">
              <w:rPr>
                <w:b/>
                <w:color w:val="0000FF"/>
                <w:sz w:val="20"/>
                <w:szCs w:val="20"/>
                <w:lang w:val="fr-FR"/>
              </w:rPr>
              <w:t>Tâches</w:t>
            </w:r>
            <w:r w:rsidR="00D54FA5" w:rsidRPr="00DD668A">
              <w:rPr>
                <w:b/>
                <w:color w:val="0000FF"/>
                <w:sz w:val="20"/>
                <w:szCs w:val="20"/>
                <w:lang w:val="fr-FR"/>
              </w:rPr>
              <w:t>-clés et domaines d’activité</w:t>
            </w:r>
          </w:p>
        </w:tc>
        <w:tc>
          <w:tcPr>
            <w:tcW w:w="6505" w:type="dxa"/>
            <w:gridSpan w:val="2"/>
          </w:tcPr>
          <w:p w:rsidR="00225EAD" w:rsidRPr="00DD668A" w:rsidRDefault="00225EAD" w:rsidP="00225EAD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:rsidR="000F5813" w:rsidRPr="00DD668A" w:rsidRDefault="00716588" w:rsidP="000F5813">
            <w:pPr>
              <w:ind w:firstLine="360"/>
              <w:outlineLvl w:val="0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DD668A">
              <w:rPr>
                <w:rFonts w:cs="Arial"/>
                <w:sz w:val="20"/>
                <w:szCs w:val="20"/>
                <w:u w:val="single"/>
                <w:lang w:val="fr-FR"/>
              </w:rPr>
              <w:t>Tâches possibles</w:t>
            </w:r>
            <w:r w:rsidR="000F5813" w:rsidRPr="00DD668A">
              <w:rPr>
                <w:rFonts w:cs="Arial"/>
                <w:sz w:val="20"/>
                <w:szCs w:val="20"/>
                <w:u w:val="single"/>
                <w:lang w:val="fr-FR"/>
              </w:rPr>
              <w:t xml:space="preserve"> (</w:t>
            </w:r>
            <w:r w:rsidRPr="00DD668A">
              <w:rPr>
                <w:rFonts w:cs="Arial"/>
                <w:sz w:val="20"/>
                <w:szCs w:val="20"/>
                <w:u w:val="single"/>
                <w:lang w:val="fr-FR"/>
              </w:rPr>
              <w:t>non limitatives</w:t>
            </w:r>
            <w:r w:rsidR="000F5813" w:rsidRPr="00DD668A">
              <w:rPr>
                <w:rFonts w:cs="Arial"/>
                <w:sz w:val="20"/>
                <w:szCs w:val="20"/>
                <w:u w:val="single"/>
                <w:lang w:val="fr-FR"/>
              </w:rPr>
              <w:t>)</w:t>
            </w:r>
            <w:r w:rsidRPr="00DD668A">
              <w:rPr>
                <w:rFonts w:cs="Arial"/>
                <w:sz w:val="20"/>
                <w:szCs w:val="20"/>
                <w:u w:val="single"/>
                <w:lang w:val="fr-FR"/>
              </w:rPr>
              <w:t> </w:t>
            </w:r>
            <w:r w:rsidR="000F5813" w:rsidRPr="00DD668A">
              <w:rPr>
                <w:rFonts w:cs="Arial"/>
                <w:sz w:val="20"/>
                <w:szCs w:val="20"/>
                <w:u w:val="single"/>
                <w:lang w:val="fr-FR"/>
              </w:rPr>
              <w:t>:</w:t>
            </w:r>
          </w:p>
          <w:p w:rsidR="00716588" w:rsidRPr="00DD668A" w:rsidRDefault="00716588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Initier et accompagner les débriefings opérationnels</w:t>
            </w:r>
          </w:p>
          <w:p w:rsidR="00716588" w:rsidRPr="00DD668A" w:rsidRDefault="00716588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Coordonner la disponibilité du matériel roulant et non roulant, y compris les propositions d'achat</w:t>
            </w:r>
            <w:r w:rsidR="00C145D0" w:rsidRPr="00DD668A">
              <w:rPr>
                <w:rFonts w:ascii="Arial" w:hAnsi="Arial" w:cs="Arial"/>
                <w:sz w:val="20"/>
                <w:szCs w:val="20"/>
                <w:lang w:val="fr-FR"/>
              </w:rPr>
              <w:t xml:space="preserve"> ou de remplacement de matériel</w:t>
            </w:r>
          </w:p>
          <w:p w:rsidR="000F5813" w:rsidRPr="00DD668A" w:rsidRDefault="00716588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Veiller au planning du personnel (vacances, horaires des équipes, absences, etc.)</w:t>
            </w:r>
          </w:p>
          <w:p w:rsidR="000F5813" w:rsidRPr="00DD668A" w:rsidRDefault="00716588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Rédiger et transmettre les rapports d'ambulan</w:t>
            </w:r>
            <w:r w:rsidR="00C145D0" w:rsidRPr="00DD668A">
              <w:rPr>
                <w:rFonts w:ascii="Arial" w:hAnsi="Arial" w:cs="Arial"/>
                <w:sz w:val="20"/>
                <w:szCs w:val="20"/>
                <w:lang w:val="fr-FR"/>
              </w:rPr>
              <w:t>ces selon les normes en vigueur</w:t>
            </w:r>
          </w:p>
          <w:p w:rsidR="000F5813" w:rsidRPr="00DD668A" w:rsidRDefault="00716588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Veiller à la gestion admini</w:t>
            </w:r>
            <w:r w:rsidR="00C145D0" w:rsidRPr="00DD668A">
              <w:rPr>
                <w:rFonts w:ascii="Arial" w:hAnsi="Arial" w:cs="Arial"/>
                <w:sz w:val="20"/>
                <w:szCs w:val="20"/>
                <w:lang w:val="fr-FR"/>
              </w:rPr>
              <w:t>strative du service d'ambulance</w:t>
            </w:r>
          </w:p>
          <w:p w:rsidR="000F5813" w:rsidRPr="00DD668A" w:rsidRDefault="009F1C47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 xml:space="preserve">Mettre sur pied et respecter les procédures de soins, désinfection et </w:t>
            </w:r>
            <w:r w:rsidR="00C145D0" w:rsidRPr="00DD668A">
              <w:rPr>
                <w:rFonts w:ascii="Arial" w:hAnsi="Arial" w:cs="Arial"/>
                <w:sz w:val="20"/>
                <w:szCs w:val="20"/>
                <w:lang w:val="fr-FR"/>
              </w:rPr>
              <w:t>reconditionnement des appareils</w:t>
            </w:r>
          </w:p>
          <w:p w:rsidR="000F5813" w:rsidRPr="00DD668A" w:rsidRDefault="009F1C47" w:rsidP="00DD66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Coordonner l'exécution du règlement d'ordre intérieur vi</w:t>
            </w:r>
            <w:r w:rsidR="00C145D0" w:rsidRPr="00DD668A">
              <w:rPr>
                <w:rFonts w:ascii="Arial" w:hAnsi="Arial" w:cs="Arial"/>
                <w:sz w:val="20"/>
                <w:szCs w:val="20"/>
                <w:lang w:val="fr-FR"/>
              </w:rPr>
              <w:t>sé dans l'AR du 21 février 2014</w:t>
            </w:r>
            <w:r w:rsidR="00DD668A" w:rsidRPr="00C01137">
              <w:rPr>
                <w:lang w:val="fr-FR"/>
              </w:rPr>
              <w:t xml:space="preserve"> </w:t>
            </w:r>
            <w:r w:rsidR="00DD668A" w:rsidRPr="00DD668A">
              <w:rPr>
                <w:rFonts w:ascii="Arial" w:hAnsi="Arial" w:cs="Arial"/>
                <w:sz w:val="20"/>
                <w:szCs w:val="20"/>
                <w:lang w:val="fr-FR"/>
              </w:rPr>
              <w:t>déterminant les activités mentionnées à l'article 21quinquies, § 1er, a), b) et c) de l'arrêté royal n° 78 du 10 novembre 1967 relatif à l'exercice des professions des soins de santé que le secouriste-ambulancier peut réaliser et fixant les modalités d'exécution de ces activités afférentes à la fonction de secouriste-ambulancier</w:t>
            </w:r>
          </w:p>
          <w:p w:rsidR="000F5813" w:rsidRPr="00DD668A" w:rsidRDefault="009F1C47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 xml:space="preserve">Intervenir comme personne de liaison avec les services externes tels que les centres 112, les </w:t>
            </w:r>
            <w:r w:rsidR="00D54FA5" w:rsidRPr="00DD668A">
              <w:rPr>
                <w:rFonts w:ascii="Arial" w:hAnsi="Arial" w:cs="Arial"/>
                <w:sz w:val="20"/>
                <w:szCs w:val="20"/>
                <w:lang w:val="fr-FR"/>
              </w:rPr>
              <w:t xml:space="preserve">services </w:t>
            </w: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médicaux urgents, etc.</w:t>
            </w:r>
          </w:p>
          <w:p w:rsidR="000F5813" w:rsidRPr="00DD668A" w:rsidRDefault="009F1C47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Accompagner, soutenir, motiver, coache</w:t>
            </w:r>
            <w:r w:rsidR="00C145D0" w:rsidRPr="00DD668A">
              <w:rPr>
                <w:rFonts w:ascii="Arial" w:hAnsi="Arial" w:cs="Arial"/>
                <w:sz w:val="20"/>
                <w:szCs w:val="20"/>
                <w:lang w:val="fr-FR"/>
              </w:rPr>
              <w:t>r et évaluer les collaborateurs</w:t>
            </w:r>
          </w:p>
          <w:p w:rsidR="000F5813" w:rsidRPr="00DD668A" w:rsidRDefault="00C145D0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>Prendre en charge et mettre en œuvre des protocoles d'amélioration</w:t>
            </w:r>
          </w:p>
          <w:p w:rsidR="000F5813" w:rsidRPr="00DD668A" w:rsidRDefault="00C145D0" w:rsidP="000F5813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t xml:space="preserve">Veiller aux connaissances et à l'expérience opérationnelle </w:t>
            </w:r>
            <w:r w:rsidRPr="00DD668A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dans le domaine des entraînements techniques, encourager et initier les entraînements</w:t>
            </w:r>
          </w:p>
          <w:p w:rsidR="00904DB5" w:rsidRPr="00DD668A" w:rsidRDefault="00904DB5" w:rsidP="00F84227">
            <w:pPr>
              <w:rPr>
                <w:sz w:val="20"/>
                <w:szCs w:val="20"/>
                <w:lang w:val="fr-FR"/>
              </w:rPr>
            </w:pPr>
          </w:p>
        </w:tc>
      </w:tr>
      <w:tr w:rsidR="00D93787" w:rsidRPr="007667BB" w:rsidTr="00F9413E">
        <w:tc>
          <w:tcPr>
            <w:tcW w:w="2777" w:type="dxa"/>
          </w:tcPr>
          <w:p w:rsidR="00D93787" w:rsidRPr="00716588" w:rsidRDefault="00D93787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:rsidR="00D93787" w:rsidRPr="00716588" w:rsidRDefault="00D93787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05" w:type="dxa"/>
            <w:gridSpan w:val="2"/>
          </w:tcPr>
          <w:p w:rsidR="00D93787" w:rsidRPr="00716588" w:rsidRDefault="00D93787" w:rsidP="00D93787">
            <w:pPr>
              <w:rPr>
                <w:sz w:val="20"/>
                <w:szCs w:val="20"/>
                <w:lang w:val="fr-FR"/>
              </w:rPr>
            </w:pPr>
          </w:p>
          <w:p w:rsidR="00204598" w:rsidRPr="00716588" w:rsidRDefault="00204598" w:rsidP="00204598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716588">
              <w:rPr>
                <w:sz w:val="20"/>
                <w:szCs w:val="20"/>
                <w:lang w:val="fr-FR"/>
              </w:rPr>
              <w:t>La description de fonction pour les parties :</w:t>
            </w:r>
          </w:p>
          <w:p w:rsidR="00204598" w:rsidRPr="0071658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6588">
              <w:rPr>
                <w:rFonts w:ascii="Arial" w:hAnsi="Arial" w:cs="Arial"/>
                <w:sz w:val="20"/>
                <w:szCs w:val="20"/>
                <w:lang w:val="fr-FR"/>
              </w:rPr>
              <w:t>Place dans l'organisation</w:t>
            </w:r>
          </w:p>
          <w:p w:rsidR="00204598" w:rsidRPr="0071658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6588">
              <w:rPr>
                <w:rFonts w:ascii="Arial" w:hAnsi="Arial" w:cs="Arial"/>
                <w:sz w:val="20"/>
                <w:szCs w:val="20"/>
                <w:lang w:val="fr-FR"/>
              </w:rPr>
              <w:t>Eléments de réseau</w:t>
            </w:r>
          </w:p>
          <w:p w:rsidR="00204598" w:rsidRPr="0071658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6588">
              <w:rPr>
                <w:rFonts w:ascii="Arial" w:hAnsi="Arial" w:cs="Arial"/>
                <w:sz w:val="20"/>
                <w:szCs w:val="20"/>
                <w:lang w:val="fr-FR"/>
              </w:rPr>
              <w:t>Autonomie</w:t>
            </w:r>
          </w:p>
          <w:p w:rsidR="00204598" w:rsidRPr="0071658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6588">
              <w:rPr>
                <w:rFonts w:ascii="Arial" w:hAnsi="Arial" w:cs="Arial"/>
                <w:sz w:val="20"/>
                <w:szCs w:val="20"/>
                <w:lang w:val="fr-FR"/>
              </w:rPr>
              <w:t>Situations et conditions de travail</w:t>
            </w:r>
          </w:p>
          <w:p w:rsidR="00204598" w:rsidRPr="00716588" w:rsidRDefault="00204598" w:rsidP="00120C58">
            <w:pPr>
              <w:pStyle w:val="Lijstalinea"/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4DB5" w:rsidRPr="00716588" w:rsidRDefault="00120C58" w:rsidP="00120C58">
            <w:pPr>
              <w:jc w:val="both"/>
              <w:rPr>
                <w:sz w:val="20"/>
                <w:szCs w:val="20"/>
                <w:lang w:val="fr-FR"/>
              </w:rPr>
            </w:pPr>
            <w:r w:rsidRPr="00716588">
              <w:rPr>
                <w:sz w:val="20"/>
                <w:szCs w:val="20"/>
                <w:lang w:val="fr-FR"/>
              </w:rPr>
              <w:t>est</w:t>
            </w:r>
            <w:r w:rsidR="00204598" w:rsidRPr="00716588">
              <w:rPr>
                <w:sz w:val="20"/>
                <w:szCs w:val="20"/>
                <w:lang w:val="fr-FR"/>
              </w:rPr>
              <w:t xml:space="preserve"> </w:t>
            </w:r>
            <w:r w:rsidRPr="00716588">
              <w:rPr>
                <w:sz w:val="20"/>
                <w:szCs w:val="20"/>
                <w:lang w:val="fr-FR"/>
              </w:rPr>
              <w:t>disponible dans la description de</w:t>
            </w:r>
            <w:r w:rsidR="002C1C82" w:rsidRPr="00716588">
              <w:rPr>
                <w:sz w:val="20"/>
                <w:szCs w:val="20"/>
                <w:lang w:val="fr-FR"/>
              </w:rPr>
              <w:t xml:space="preserve"> fonction connexe</w:t>
            </w:r>
            <w:r w:rsidRPr="00716588">
              <w:rPr>
                <w:sz w:val="20"/>
                <w:szCs w:val="20"/>
                <w:lang w:val="fr-FR"/>
              </w:rPr>
              <w:t xml:space="preserve"> ou selon les dispositions de l’arrêté royal du </w:t>
            </w:r>
            <w:r w:rsidRPr="00716588">
              <w:rPr>
                <w:rFonts w:cs="Arial"/>
                <w:sz w:val="20"/>
                <w:szCs w:val="20"/>
                <w:lang w:val="fr-FR"/>
              </w:rPr>
              <w:t>19 avril 2014 relatif au statut du personnel opérationnel des zones de secours</w:t>
            </w:r>
            <w:r w:rsidR="002C1C82" w:rsidRPr="00716588">
              <w:rPr>
                <w:sz w:val="20"/>
                <w:szCs w:val="20"/>
                <w:lang w:val="fr-FR"/>
              </w:rPr>
              <w:t>, à l'exception des ambulanciers non-pompiers (AR</w:t>
            </w:r>
            <w:r w:rsidRPr="00716588">
              <w:rPr>
                <w:sz w:val="20"/>
                <w:szCs w:val="20"/>
                <w:lang w:val="fr-FR"/>
              </w:rPr>
              <w:t xml:space="preserve"> 23/</w:t>
            </w:r>
            <w:r w:rsidR="002C1C82" w:rsidRPr="00716588">
              <w:rPr>
                <w:sz w:val="20"/>
                <w:szCs w:val="20"/>
                <w:lang w:val="fr-FR"/>
              </w:rPr>
              <w:t>08</w:t>
            </w:r>
            <w:r w:rsidRPr="00716588">
              <w:rPr>
                <w:sz w:val="20"/>
                <w:szCs w:val="20"/>
                <w:lang w:val="fr-FR"/>
              </w:rPr>
              <w:t>/</w:t>
            </w:r>
            <w:r w:rsidR="002C1C82" w:rsidRPr="00716588">
              <w:rPr>
                <w:sz w:val="20"/>
                <w:szCs w:val="20"/>
                <w:lang w:val="fr-FR"/>
              </w:rPr>
              <w:t>2014)</w:t>
            </w:r>
          </w:p>
          <w:p w:rsidR="00120C58" w:rsidRPr="00716588" w:rsidRDefault="00120C58" w:rsidP="00120C58">
            <w:pPr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B316C6" w:rsidRPr="00716588" w:rsidTr="00F9413E">
        <w:tc>
          <w:tcPr>
            <w:tcW w:w="2777" w:type="dxa"/>
            <w:vMerge w:val="restart"/>
            <w:shd w:val="clear" w:color="auto" w:fill="auto"/>
          </w:tcPr>
          <w:p w:rsidR="00B316C6" w:rsidRPr="00716588" w:rsidRDefault="00B316C6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716588">
              <w:rPr>
                <w:b/>
                <w:color w:val="0000FF"/>
                <w:sz w:val="20"/>
                <w:szCs w:val="20"/>
                <w:lang w:val="fr-FR"/>
              </w:rPr>
              <w:t>Situations et conditions de travail</w:t>
            </w:r>
          </w:p>
          <w:p w:rsidR="00B316C6" w:rsidRPr="00716588" w:rsidRDefault="00B316C6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035" w:type="dxa"/>
            <w:shd w:val="clear" w:color="auto" w:fill="auto"/>
          </w:tcPr>
          <w:p w:rsidR="00B316C6" w:rsidRPr="007667BB" w:rsidRDefault="00B316C6" w:rsidP="005665D9">
            <w:pPr>
              <w:rPr>
                <w:sz w:val="20"/>
                <w:szCs w:val="20"/>
                <w:lang w:val="fr-FR"/>
              </w:rPr>
            </w:pPr>
          </w:p>
          <w:p w:rsidR="00B316C6" w:rsidRPr="007667BB" w:rsidRDefault="00B316C6" w:rsidP="005665D9">
            <w:pPr>
              <w:rPr>
                <w:sz w:val="20"/>
                <w:szCs w:val="20"/>
                <w:lang w:val="fr-FR"/>
              </w:rPr>
            </w:pPr>
            <w:r w:rsidRPr="007667BB">
              <w:rPr>
                <w:sz w:val="20"/>
                <w:szCs w:val="20"/>
                <w:lang w:val="fr-FR"/>
              </w:rPr>
              <w:t>Diplôme, brevet, certificat, …</w:t>
            </w:r>
          </w:p>
          <w:p w:rsidR="00B316C6" w:rsidRPr="007667BB" w:rsidRDefault="00B316C6" w:rsidP="005665D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70" w:type="dxa"/>
            <w:shd w:val="clear" w:color="auto" w:fill="auto"/>
          </w:tcPr>
          <w:p w:rsidR="00B316C6" w:rsidRPr="007667BB" w:rsidRDefault="00B316C6" w:rsidP="00E741AF">
            <w:pPr>
              <w:rPr>
                <w:sz w:val="20"/>
                <w:szCs w:val="20"/>
                <w:lang w:val="fr-FR"/>
              </w:rPr>
            </w:pPr>
          </w:p>
          <w:p w:rsidR="00B316C6" w:rsidRPr="007667BB" w:rsidRDefault="00B316C6" w:rsidP="00E741AF">
            <w:pPr>
              <w:rPr>
                <w:sz w:val="20"/>
                <w:szCs w:val="20"/>
                <w:lang w:val="fr-FR"/>
              </w:rPr>
            </w:pPr>
            <w:r w:rsidRPr="007667BB">
              <w:rPr>
                <w:sz w:val="20"/>
                <w:szCs w:val="20"/>
                <w:lang w:val="fr-FR"/>
              </w:rPr>
              <w:t>Conditions AR 23/08/2014</w:t>
            </w:r>
          </w:p>
          <w:p w:rsidR="00B316C6" w:rsidRPr="007667BB" w:rsidRDefault="00B316C6" w:rsidP="00E741AF">
            <w:pPr>
              <w:rPr>
                <w:sz w:val="20"/>
                <w:szCs w:val="20"/>
                <w:lang w:val="fr-FR"/>
              </w:rPr>
            </w:pPr>
          </w:p>
        </w:tc>
      </w:tr>
      <w:tr w:rsidR="00B316C6" w:rsidRPr="00716588" w:rsidTr="00F9413E">
        <w:tc>
          <w:tcPr>
            <w:tcW w:w="2777" w:type="dxa"/>
            <w:vMerge/>
            <w:shd w:val="clear" w:color="auto" w:fill="auto"/>
          </w:tcPr>
          <w:p w:rsidR="00B316C6" w:rsidRPr="00716588" w:rsidRDefault="00B316C6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035" w:type="dxa"/>
            <w:shd w:val="clear" w:color="auto" w:fill="auto"/>
          </w:tcPr>
          <w:p w:rsidR="00B316C6" w:rsidRPr="007667BB" w:rsidRDefault="00B316C6" w:rsidP="005665D9">
            <w:pPr>
              <w:rPr>
                <w:sz w:val="20"/>
                <w:szCs w:val="20"/>
                <w:lang w:val="fr-FR"/>
              </w:rPr>
            </w:pPr>
            <w:r w:rsidRPr="007667BB">
              <w:rPr>
                <w:sz w:val="20"/>
                <w:szCs w:val="20"/>
                <w:lang w:val="fr-FR"/>
              </w:rPr>
              <w:t>Caractéristiques spécifiques</w:t>
            </w:r>
          </w:p>
        </w:tc>
        <w:tc>
          <w:tcPr>
            <w:tcW w:w="4470" w:type="dxa"/>
            <w:shd w:val="clear" w:color="auto" w:fill="auto"/>
          </w:tcPr>
          <w:p w:rsidR="00B316C6" w:rsidRPr="007667BB" w:rsidRDefault="00B316C6" w:rsidP="00B316C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7667B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Prestations de temps de travail irréguliers</w:t>
            </w:r>
          </w:p>
          <w:p w:rsidR="00B316C6" w:rsidRPr="007667BB" w:rsidRDefault="00B316C6" w:rsidP="00B316C6">
            <w:pPr>
              <w:pStyle w:val="Lijstalinea"/>
              <w:numPr>
                <w:ilvl w:val="0"/>
                <w:numId w:val="17"/>
              </w:numPr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67BB">
              <w:rPr>
                <w:rFonts w:ascii="Arial" w:hAnsi="Arial" w:cs="Arial"/>
                <w:sz w:val="20"/>
                <w:szCs w:val="20"/>
                <w:lang w:val="fr-FR"/>
              </w:rPr>
              <w:t xml:space="preserve">Prestation le samedi, le dimanche, les jours fériés et la nuit </w:t>
            </w:r>
          </w:p>
          <w:p w:rsidR="00B316C6" w:rsidRPr="007667BB" w:rsidRDefault="00B316C6" w:rsidP="00B316C6">
            <w:pPr>
              <w:pStyle w:val="Lijstalinea"/>
              <w:numPr>
                <w:ilvl w:val="0"/>
                <w:numId w:val="17"/>
              </w:numPr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67BB">
              <w:rPr>
                <w:rFonts w:ascii="Arial" w:hAnsi="Arial" w:cs="Arial"/>
                <w:sz w:val="20"/>
                <w:szCs w:val="20"/>
                <w:lang w:val="fr-FR"/>
              </w:rPr>
              <w:t>Les rappels sont possibles</w:t>
            </w:r>
          </w:p>
          <w:p w:rsidR="00B316C6" w:rsidRPr="007667BB" w:rsidRDefault="00B316C6" w:rsidP="00B316C6">
            <w:pPr>
              <w:pStyle w:val="Lijstalinea"/>
              <w:numPr>
                <w:ilvl w:val="0"/>
                <w:numId w:val="17"/>
              </w:numPr>
              <w:ind w:left="714" w:hanging="357"/>
              <w:rPr>
                <w:color w:val="000000"/>
                <w:sz w:val="20"/>
                <w:szCs w:val="20"/>
                <w:lang w:val="fr-FR"/>
              </w:rPr>
            </w:pPr>
            <w:r w:rsidRPr="007667BB">
              <w:rPr>
                <w:rFonts w:ascii="Arial" w:hAnsi="Arial" w:cs="Arial"/>
                <w:sz w:val="20"/>
                <w:szCs w:val="20"/>
                <w:lang w:val="fr-FR"/>
              </w:rPr>
              <w:t xml:space="preserve">Charges physiques et lourdes possibles </w:t>
            </w:r>
          </w:p>
          <w:p w:rsidR="00B316C6" w:rsidRPr="007667BB" w:rsidRDefault="00B316C6" w:rsidP="00B316C6">
            <w:pPr>
              <w:pStyle w:val="Lijstalinea"/>
              <w:numPr>
                <w:ilvl w:val="0"/>
                <w:numId w:val="17"/>
              </w:numPr>
              <w:ind w:left="714" w:hanging="357"/>
              <w:rPr>
                <w:color w:val="000000"/>
                <w:sz w:val="20"/>
                <w:szCs w:val="20"/>
                <w:lang w:val="fr-FR"/>
              </w:rPr>
            </w:pPr>
            <w:r w:rsidRPr="007667BB">
              <w:rPr>
                <w:rFonts w:ascii="Arial" w:hAnsi="Arial" w:cs="Arial"/>
                <w:sz w:val="20"/>
                <w:szCs w:val="20"/>
                <w:lang w:val="fr-FR"/>
              </w:rPr>
              <w:t xml:space="preserve">Charge psychologique possible </w:t>
            </w:r>
          </w:p>
          <w:p w:rsidR="00B316C6" w:rsidRPr="007667BB" w:rsidRDefault="00B316C6" w:rsidP="00E741AF">
            <w:pPr>
              <w:rPr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</w:tbl>
    <w:p w:rsidR="00C1200D" w:rsidRPr="00716588" w:rsidRDefault="00C1200D">
      <w:pPr>
        <w:rPr>
          <w:lang w:val="fr-FR"/>
        </w:rPr>
      </w:pPr>
    </w:p>
    <w:p w:rsidR="00120C58" w:rsidRPr="00716588" w:rsidRDefault="00120C58">
      <w:pPr>
        <w:rPr>
          <w:lang w:val="fr-FR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16588">
        <w:rPr>
          <w:rFonts w:ascii="Univers" w:eastAsia="Times New Roman" w:hAnsi="Univers"/>
          <w:color w:val="000000"/>
          <w:lang w:val="fr-FR" w:eastAsia="fr-BE"/>
        </w:rPr>
        <w:t>Vu pour être annexé à l’arrêté du … fixant les descriptions de fonction du personnel opérationnel des zones de secours</w:t>
      </w: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</w:p>
    <w:p w:rsidR="00120C58" w:rsidRPr="00716588" w:rsidRDefault="00120C58" w:rsidP="00120C58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16588">
        <w:rPr>
          <w:rFonts w:ascii="Univers" w:eastAsia="Times New Roman" w:hAnsi="Univers"/>
          <w:color w:val="000000"/>
          <w:lang w:val="fr-FR" w:eastAsia="fr-BE"/>
        </w:rPr>
        <w:t>Jan JAMBON</w:t>
      </w:r>
    </w:p>
    <w:p w:rsidR="00120C58" w:rsidRPr="00716588" w:rsidRDefault="00120C58">
      <w:pPr>
        <w:rPr>
          <w:lang w:val="fr-FR"/>
        </w:rPr>
      </w:pPr>
    </w:p>
    <w:p w:rsidR="00CC5128" w:rsidRPr="00716588" w:rsidRDefault="00CC5128">
      <w:pPr>
        <w:rPr>
          <w:lang w:val="fr-FR"/>
        </w:rPr>
      </w:pPr>
    </w:p>
    <w:p w:rsidR="00EC4FE1" w:rsidRPr="00716588" w:rsidRDefault="00EC4FE1">
      <w:pPr>
        <w:rPr>
          <w:lang w:val="fr-FR"/>
        </w:rPr>
      </w:pPr>
    </w:p>
    <w:sectPr w:rsidR="00EC4FE1" w:rsidRPr="00716588" w:rsidSect="001F4078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52" w:rsidRDefault="00C46D52" w:rsidP="008F4853">
      <w:r>
        <w:separator/>
      </w:r>
    </w:p>
  </w:endnote>
  <w:endnote w:type="continuationSeparator" w:id="0">
    <w:p w:rsidR="00C46D52" w:rsidRDefault="00C46D52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2" w:rsidRPr="00120C58" w:rsidRDefault="002C1C82">
    <w:pPr>
      <w:pStyle w:val="Voettekst"/>
      <w:rPr>
        <w:lang w:val="fr-FR"/>
      </w:rPr>
    </w:pPr>
  </w:p>
  <w:p w:rsidR="00BE0919" w:rsidRPr="00120C58" w:rsidRDefault="00BE0919" w:rsidP="008F4853">
    <w:pPr>
      <w:pStyle w:val="Voettekst"/>
      <w:ind w:firstLine="708"/>
      <w:jc w:val="center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52" w:rsidRDefault="00C46D52" w:rsidP="008F4853">
      <w:r>
        <w:separator/>
      </w:r>
    </w:p>
  </w:footnote>
  <w:footnote w:type="continuationSeparator" w:id="0">
    <w:p w:rsidR="00C46D52" w:rsidRDefault="00C46D52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2C3"/>
    <w:multiLevelType w:val="hybridMultilevel"/>
    <w:tmpl w:val="F8C8B658"/>
    <w:lvl w:ilvl="0" w:tplc="36166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5C5D"/>
    <w:multiLevelType w:val="hybridMultilevel"/>
    <w:tmpl w:val="DC46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5C85"/>
    <w:multiLevelType w:val="hybridMultilevel"/>
    <w:tmpl w:val="6760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677E9"/>
    <w:multiLevelType w:val="hybridMultilevel"/>
    <w:tmpl w:val="DB12D43A"/>
    <w:lvl w:ilvl="0" w:tplc="36166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5DA2"/>
    <w:multiLevelType w:val="hybridMultilevel"/>
    <w:tmpl w:val="ACAA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5D8B"/>
    <w:multiLevelType w:val="hybridMultilevel"/>
    <w:tmpl w:val="E176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752C"/>
    <w:multiLevelType w:val="hybridMultilevel"/>
    <w:tmpl w:val="C336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63C5A"/>
    <w:multiLevelType w:val="hybridMultilevel"/>
    <w:tmpl w:val="F8B28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B62C4"/>
    <w:multiLevelType w:val="hybridMultilevel"/>
    <w:tmpl w:val="94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F2DB5"/>
    <w:multiLevelType w:val="hybridMultilevel"/>
    <w:tmpl w:val="8BEEBDE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01A95"/>
    <w:multiLevelType w:val="hybridMultilevel"/>
    <w:tmpl w:val="6DB8B5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14"/>
  </w:num>
  <w:num w:numId="7">
    <w:abstractNumId w:val="12"/>
  </w:num>
  <w:num w:numId="8">
    <w:abstractNumId w:val="1"/>
  </w:num>
  <w:num w:numId="9">
    <w:abstractNumId w:val="7"/>
  </w:num>
  <w:num w:numId="10">
    <w:abstractNumId w:val="15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1"/>
    <w:rsid w:val="000820BA"/>
    <w:rsid w:val="000F5813"/>
    <w:rsid w:val="001137FC"/>
    <w:rsid w:val="00120C58"/>
    <w:rsid w:val="001A603B"/>
    <w:rsid w:val="001C6AA5"/>
    <w:rsid w:val="001F1828"/>
    <w:rsid w:val="001F4078"/>
    <w:rsid w:val="001F5641"/>
    <w:rsid w:val="001F5944"/>
    <w:rsid w:val="00204598"/>
    <w:rsid w:val="00225EAD"/>
    <w:rsid w:val="0026564E"/>
    <w:rsid w:val="002A7773"/>
    <w:rsid w:val="002C1C82"/>
    <w:rsid w:val="00377A38"/>
    <w:rsid w:val="003D0D91"/>
    <w:rsid w:val="003E48F0"/>
    <w:rsid w:val="003F0350"/>
    <w:rsid w:val="004361AC"/>
    <w:rsid w:val="004467DF"/>
    <w:rsid w:val="004A3CD3"/>
    <w:rsid w:val="004B39BE"/>
    <w:rsid w:val="005526EC"/>
    <w:rsid w:val="005672C9"/>
    <w:rsid w:val="00657577"/>
    <w:rsid w:val="00694318"/>
    <w:rsid w:val="006A163E"/>
    <w:rsid w:val="00707D30"/>
    <w:rsid w:val="00716588"/>
    <w:rsid w:val="007667BB"/>
    <w:rsid w:val="007E416B"/>
    <w:rsid w:val="008478A9"/>
    <w:rsid w:val="008655BE"/>
    <w:rsid w:val="008E37C4"/>
    <w:rsid w:val="008F4853"/>
    <w:rsid w:val="00904DB5"/>
    <w:rsid w:val="009A0481"/>
    <w:rsid w:val="009F1C47"/>
    <w:rsid w:val="009F2870"/>
    <w:rsid w:val="00A66F68"/>
    <w:rsid w:val="00B179F8"/>
    <w:rsid w:val="00B316C6"/>
    <w:rsid w:val="00B74846"/>
    <w:rsid w:val="00BE0919"/>
    <w:rsid w:val="00C01137"/>
    <w:rsid w:val="00C1200D"/>
    <w:rsid w:val="00C145D0"/>
    <w:rsid w:val="00C33F06"/>
    <w:rsid w:val="00C466A6"/>
    <w:rsid w:val="00C46D52"/>
    <w:rsid w:val="00C47310"/>
    <w:rsid w:val="00CC5128"/>
    <w:rsid w:val="00D21C64"/>
    <w:rsid w:val="00D27580"/>
    <w:rsid w:val="00D54FA5"/>
    <w:rsid w:val="00D93787"/>
    <w:rsid w:val="00DD668A"/>
    <w:rsid w:val="00E741AF"/>
    <w:rsid w:val="00E749F5"/>
    <w:rsid w:val="00EC4FE1"/>
    <w:rsid w:val="00EE437C"/>
    <w:rsid w:val="00EF12AC"/>
    <w:rsid w:val="00F12907"/>
    <w:rsid w:val="00F84227"/>
    <w:rsid w:val="00F9413E"/>
    <w:rsid w:val="00FC08E5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A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AC"/>
    <w:rPr>
      <w:rFonts w:ascii="Lucida Grande" w:hAnsi="Lucida Grande" w:cs="Times New Roman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4F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4F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4FA5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4F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4FA5"/>
    <w:rPr>
      <w:rFonts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A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AC"/>
    <w:rPr>
      <w:rFonts w:ascii="Lucida Grande" w:hAnsi="Lucida Grande" w:cs="Times New Roman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4F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4F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4FA5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4F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4FA5"/>
    <w:rPr>
      <w:rFonts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Brandweer Roeselare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IBZ</cp:lastModifiedBy>
  <cp:revision>2</cp:revision>
  <cp:lastPrinted>2014-06-03T09:06:00Z</cp:lastPrinted>
  <dcterms:created xsi:type="dcterms:W3CDTF">2016-04-19T09:37:00Z</dcterms:created>
  <dcterms:modified xsi:type="dcterms:W3CDTF">2016-04-19T09:37:00Z</dcterms:modified>
</cp:coreProperties>
</file>